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2490" w14:textId="77777777" w:rsidR="007335B7" w:rsidRPr="002B4C5D" w:rsidRDefault="007335B7" w:rsidP="002B4C5D">
      <w:pPr>
        <w:autoSpaceDE w:val="0"/>
        <w:autoSpaceDN w:val="0"/>
        <w:adjustRightInd w:val="0"/>
        <w:spacing w:after="0" w:line="240" w:lineRule="auto"/>
        <w:rPr>
          <w:rFonts w:ascii="Arial Narrow" w:hAnsi="Arial Narrow"/>
          <w:sz w:val="24"/>
          <w:szCs w:val="24"/>
        </w:rPr>
      </w:pPr>
    </w:p>
    <w:p w14:paraId="22F3739E" w14:textId="77777777" w:rsidR="00CC12AC" w:rsidRDefault="00CC12AC" w:rsidP="002B4C5D">
      <w:pPr>
        <w:spacing w:after="0"/>
        <w:jc w:val="center"/>
        <w:rPr>
          <w:rFonts w:ascii="Arial Narrow" w:hAnsi="Arial Narrow"/>
          <w:b/>
          <w:sz w:val="36"/>
          <w:szCs w:val="36"/>
        </w:rPr>
      </w:pPr>
      <w:r w:rsidRPr="002B4C5D">
        <w:rPr>
          <w:rFonts w:ascii="Arial Narrow" w:hAnsi="Arial Narrow"/>
          <w:b/>
          <w:sz w:val="36"/>
          <w:szCs w:val="36"/>
        </w:rPr>
        <w:t xml:space="preserve">The </w:t>
      </w:r>
      <w:r w:rsidR="00AA052F">
        <w:rPr>
          <w:rFonts w:ascii="Arial Narrow" w:hAnsi="Arial Narrow"/>
          <w:b/>
          <w:sz w:val="36"/>
          <w:szCs w:val="36"/>
        </w:rPr>
        <w:t>Five-Year</w:t>
      </w:r>
      <w:r w:rsidRPr="002B4C5D">
        <w:rPr>
          <w:rFonts w:ascii="Arial Narrow" w:hAnsi="Arial Narrow"/>
          <w:b/>
          <w:sz w:val="36"/>
          <w:szCs w:val="36"/>
        </w:rPr>
        <w:t xml:space="preserve"> Trust </w:t>
      </w:r>
    </w:p>
    <w:p w14:paraId="70A73CED" w14:textId="77777777" w:rsidR="00B55479" w:rsidRPr="00AA052F" w:rsidRDefault="00CC12AC" w:rsidP="002B4C5D">
      <w:pPr>
        <w:spacing w:after="0"/>
        <w:jc w:val="center"/>
        <w:rPr>
          <w:rFonts w:ascii="Arial Narrow" w:hAnsi="Arial Narrow"/>
          <w:b/>
          <w:sz w:val="24"/>
          <w:szCs w:val="24"/>
        </w:rPr>
      </w:pPr>
      <w:r w:rsidRPr="00AA052F">
        <w:rPr>
          <w:rFonts w:ascii="Arial Narrow" w:hAnsi="Arial Narrow"/>
          <w:b/>
          <w:sz w:val="24"/>
          <w:szCs w:val="24"/>
        </w:rPr>
        <w:t xml:space="preserve">For </w:t>
      </w:r>
      <w:r w:rsidR="00B55479" w:rsidRPr="00AA052F">
        <w:rPr>
          <w:rFonts w:ascii="Arial Narrow" w:hAnsi="Arial Narrow"/>
          <w:b/>
          <w:sz w:val="24"/>
          <w:szCs w:val="24"/>
        </w:rPr>
        <w:t>Medicaid Asset Protection Planning</w:t>
      </w:r>
      <w:r w:rsidR="00ED7443">
        <w:rPr>
          <w:rFonts w:ascii="Arial Narrow" w:hAnsi="Arial Narrow"/>
          <w:b/>
          <w:sz w:val="24"/>
          <w:szCs w:val="24"/>
        </w:rPr>
        <w:t xml:space="preserve"> By, April D. Hill, Esq.</w:t>
      </w:r>
    </w:p>
    <w:p w14:paraId="5AD949B4" w14:textId="77777777" w:rsidR="00B55479" w:rsidRPr="002B4C5D" w:rsidRDefault="00B55479" w:rsidP="002B4C5D">
      <w:pPr>
        <w:spacing w:after="0"/>
        <w:rPr>
          <w:rFonts w:ascii="Arial Narrow" w:hAnsi="Arial Narrow"/>
        </w:rPr>
      </w:pPr>
    </w:p>
    <w:p w14:paraId="5CED7719" w14:textId="77777777" w:rsidR="00CC12AC" w:rsidRDefault="00CC12AC" w:rsidP="004C3E20">
      <w:pPr>
        <w:spacing w:after="0"/>
        <w:jc w:val="both"/>
        <w:rPr>
          <w:rFonts w:ascii="Arial Narrow" w:hAnsi="Arial Narrow"/>
        </w:rPr>
      </w:pPr>
    </w:p>
    <w:p w14:paraId="1CFEEBD3" w14:textId="60FCFA63" w:rsidR="00AA052F" w:rsidRDefault="00AA052F" w:rsidP="004C3E20">
      <w:pPr>
        <w:spacing w:after="0"/>
        <w:jc w:val="both"/>
        <w:rPr>
          <w:rFonts w:ascii="Arial Narrow" w:hAnsi="Arial Narrow"/>
        </w:rPr>
      </w:pPr>
      <w:r>
        <w:rPr>
          <w:rFonts w:ascii="Arial Narrow" w:hAnsi="Arial Narrow"/>
        </w:rPr>
        <w:t>A</w:t>
      </w:r>
      <w:r w:rsidR="009E0A63" w:rsidRPr="009E0A63">
        <w:rPr>
          <w:rFonts w:ascii="Arial Narrow" w:hAnsi="Arial Narrow"/>
        </w:rPr>
        <w:t xml:space="preserve"> </w:t>
      </w:r>
      <w:r w:rsidR="009E0A63">
        <w:rPr>
          <w:rFonts w:ascii="Arial Narrow" w:hAnsi="Arial Narrow"/>
        </w:rPr>
        <w:t>Five-Year Trust</w:t>
      </w:r>
      <w:r w:rsidR="009E0A63" w:rsidRPr="002B4C5D">
        <w:rPr>
          <w:rFonts w:ascii="Arial Narrow" w:hAnsi="Arial Narrow"/>
        </w:rPr>
        <w:t xml:space="preserve">, also known as a “Legacy Trust” </w:t>
      </w:r>
      <w:r w:rsidR="009E0A63">
        <w:rPr>
          <w:rFonts w:ascii="Arial Narrow" w:hAnsi="Arial Narrow"/>
        </w:rPr>
        <w:t>or Medicaid Asset Protection</w:t>
      </w:r>
      <w:r w:rsidR="00D95F40">
        <w:rPr>
          <w:rFonts w:ascii="Arial Narrow" w:hAnsi="Arial Narrow"/>
        </w:rPr>
        <w:t xml:space="preserve"> </w:t>
      </w:r>
      <w:r w:rsidR="00A20D40">
        <w:rPr>
          <w:rFonts w:ascii="Arial Narrow" w:hAnsi="Arial Narrow"/>
        </w:rPr>
        <w:t>(</w:t>
      </w:r>
      <w:hyperlink r:id="rId10" w:history="1">
        <w:r w:rsidR="00D95F40">
          <w:rPr>
            <w:rStyle w:val="Hyperlink"/>
          </w:rPr>
          <w:t>St. Petersburg Medicaid Asset Protection Lawyer | HKH Elder Law</w:t>
        </w:r>
      </w:hyperlink>
      <w:r w:rsidR="00A20D40">
        <w:t>)</w:t>
      </w:r>
      <w:r>
        <w:rPr>
          <w:rFonts w:ascii="Arial Narrow" w:hAnsi="Arial Narrow"/>
        </w:rPr>
        <w:t xml:space="preserve"> </w:t>
      </w:r>
      <w:r w:rsidR="00B55479" w:rsidRPr="002B4C5D">
        <w:rPr>
          <w:rFonts w:ascii="Arial Narrow" w:hAnsi="Arial Narrow"/>
        </w:rPr>
        <w:t xml:space="preserve">can be established to protect assets from being spent down </w:t>
      </w:r>
      <w:r w:rsidR="00000241" w:rsidRPr="002B4C5D">
        <w:rPr>
          <w:rFonts w:ascii="Arial Narrow" w:hAnsi="Arial Narrow"/>
        </w:rPr>
        <w:t xml:space="preserve">on long term care </w:t>
      </w:r>
      <w:r w:rsidR="00B55479" w:rsidRPr="002B4C5D">
        <w:rPr>
          <w:rFonts w:ascii="Arial Narrow" w:hAnsi="Arial Narrow"/>
        </w:rPr>
        <w:t xml:space="preserve">in a nursing home. </w:t>
      </w:r>
      <w:r w:rsidR="00CC12AC">
        <w:rPr>
          <w:rFonts w:ascii="Arial Narrow" w:hAnsi="Arial Narrow"/>
        </w:rPr>
        <w:t>T</w:t>
      </w:r>
      <w:r w:rsidR="00B55479" w:rsidRPr="002B4C5D">
        <w:rPr>
          <w:rFonts w:ascii="Arial Narrow" w:hAnsi="Arial Narrow"/>
        </w:rPr>
        <w:t xml:space="preserve">he assets you place in the Legacy Trust will become exempt from the Medicaid spend down requirements after a </w:t>
      </w:r>
      <w:r w:rsidR="009E0A63" w:rsidRPr="002B4C5D">
        <w:rPr>
          <w:rFonts w:ascii="Arial Narrow" w:hAnsi="Arial Narrow"/>
        </w:rPr>
        <w:t>5-year</w:t>
      </w:r>
      <w:r w:rsidR="00B55479" w:rsidRPr="002B4C5D">
        <w:rPr>
          <w:rFonts w:ascii="Arial Narrow" w:hAnsi="Arial Narrow"/>
        </w:rPr>
        <w:t xml:space="preserve"> look back period. </w:t>
      </w:r>
    </w:p>
    <w:p w14:paraId="7AA9CD26" w14:textId="77777777" w:rsidR="00AA052F" w:rsidRDefault="00AA052F" w:rsidP="004C3E20">
      <w:pPr>
        <w:spacing w:after="0"/>
        <w:jc w:val="both"/>
        <w:rPr>
          <w:rFonts w:ascii="Arial Narrow" w:hAnsi="Arial Narrow"/>
        </w:rPr>
      </w:pPr>
    </w:p>
    <w:p w14:paraId="5F30204A" w14:textId="77777777" w:rsidR="00AA052F" w:rsidRPr="002B4C5D" w:rsidRDefault="00AA052F" w:rsidP="00AA052F">
      <w:pPr>
        <w:autoSpaceDE w:val="0"/>
        <w:autoSpaceDN w:val="0"/>
        <w:adjustRightInd w:val="0"/>
        <w:spacing w:after="0" w:line="240" w:lineRule="auto"/>
        <w:jc w:val="both"/>
        <w:rPr>
          <w:rFonts w:ascii="Arial Narrow" w:hAnsi="Arial Narrow"/>
          <w:b/>
          <w:u w:val="single"/>
        </w:rPr>
      </w:pPr>
      <w:r w:rsidRPr="002B4C5D">
        <w:rPr>
          <w:rFonts w:ascii="Arial Narrow" w:hAnsi="Arial Narrow"/>
          <w:b/>
          <w:u w:val="single"/>
        </w:rPr>
        <w:t>What is the 5 Year Look-Back?</w:t>
      </w:r>
    </w:p>
    <w:p w14:paraId="5453AFE4" w14:textId="38CF47CE" w:rsidR="00AA052F" w:rsidRPr="002B4C5D" w:rsidRDefault="00AA052F" w:rsidP="00AA052F">
      <w:pPr>
        <w:autoSpaceDE w:val="0"/>
        <w:autoSpaceDN w:val="0"/>
        <w:adjustRightInd w:val="0"/>
        <w:spacing w:after="0" w:line="240" w:lineRule="auto"/>
        <w:jc w:val="both"/>
        <w:rPr>
          <w:rFonts w:ascii="Arial Narrow" w:hAnsi="Arial Narrow"/>
        </w:rPr>
      </w:pPr>
      <w:r w:rsidRPr="002B4C5D">
        <w:rPr>
          <w:rFonts w:ascii="Arial Narrow" w:hAnsi="Arial Narrow"/>
        </w:rPr>
        <w:t xml:space="preserve">During the five years before applying for Medicaid a person </w:t>
      </w:r>
      <w:r w:rsidRPr="004C0208">
        <w:rPr>
          <w:rFonts w:ascii="Arial Narrow" w:hAnsi="Arial Narrow"/>
          <w:u w:val="single"/>
        </w:rPr>
        <w:t>cannot</w:t>
      </w:r>
      <w:r w:rsidRPr="002B4C5D">
        <w:rPr>
          <w:rFonts w:ascii="Arial Narrow" w:hAnsi="Arial Narrow"/>
        </w:rPr>
        <w:t xml:space="preserve"> give away assets to become eligible for benefits. If the </w:t>
      </w:r>
      <w:r w:rsidR="00AE4DE6">
        <w:rPr>
          <w:rFonts w:ascii="Arial Narrow" w:hAnsi="Arial Narrow"/>
        </w:rPr>
        <w:t>applicant</w:t>
      </w:r>
      <w:r w:rsidRPr="002B4C5D">
        <w:rPr>
          <w:rFonts w:ascii="Arial Narrow" w:hAnsi="Arial Narrow"/>
        </w:rPr>
        <w:t xml:space="preserve"> has given away assets </w:t>
      </w:r>
      <w:r>
        <w:rPr>
          <w:rFonts w:ascii="Arial Narrow" w:hAnsi="Arial Narrow"/>
        </w:rPr>
        <w:t>during</w:t>
      </w:r>
      <w:r w:rsidRPr="002B4C5D">
        <w:rPr>
          <w:rFonts w:ascii="Arial Narrow" w:hAnsi="Arial Narrow"/>
        </w:rPr>
        <w:t xml:space="preserve"> that time, </w:t>
      </w:r>
      <w:r w:rsidRPr="004C0208">
        <w:rPr>
          <w:rFonts w:ascii="Arial Narrow" w:hAnsi="Arial Narrow"/>
          <w:highlight w:val="yellow"/>
        </w:rPr>
        <w:t>Medicaid</w:t>
      </w:r>
      <w:r w:rsidRPr="002B4C5D">
        <w:rPr>
          <w:rFonts w:ascii="Arial Narrow" w:hAnsi="Arial Narrow"/>
        </w:rPr>
        <w:t xml:space="preserve"> </w:t>
      </w:r>
      <w:r w:rsidR="00A20D40">
        <w:rPr>
          <w:rFonts w:ascii="Arial Narrow" w:hAnsi="Arial Narrow"/>
        </w:rPr>
        <w:t>(</w:t>
      </w:r>
      <w:hyperlink r:id="rId11" w:history="1">
        <w:r w:rsidR="00A20D40">
          <w:rPr>
            <w:rStyle w:val="Hyperlink"/>
          </w:rPr>
          <w:t>Top 8 Reasons Medicaid Applications Are Denied or Delayed | HKH Elder Law</w:t>
        </w:r>
      </w:hyperlink>
      <w:r w:rsidR="00A20D40">
        <w:rPr>
          <w:rFonts w:ascii="Arial Narrow" w:hAnsi="Arial Narrow"/>
        </w:rPr>
        <w:t xml:space="preserve">) </w:t>
      </w:r>
      <w:r w:rsidRPr="002B4C5D">
        <w:rPr>
          <w:rFonts w:ascii="Arial Narrow" w:hAnsi="Arial Narrow"/>
        </w:rPr>
        <w:t xml:space="preserve">will impose a period of ineligibility based on the amount he gave away he will have to wait the entire time before he can receive benefits. </w:t>
      </w:r>
      <w:r w:rsidR="00AE4DE6">
        <w:rPr>
          <w:rFonts w:ascii="Arial Narrow" w:hAnsi="Arial Narrow"/>
        </w:rPr>
        <w:t xml:space="preserve">While there are asset protection planning tools we use for people who are within the lookback, nothing is as convenient and cost effective as planning early with the Five-Year Trust. </w:t>
      </w:r>
    </w:p>
    <w:p w14:paraId="298FA515" w14:textId="77777777" w:rsidR="00AA052F" w:rsidRDefault="00AA052F" w:rsidP="004C3E20">
      <w:pPr>
        <w:spacing w:after="0"/>
        <w:jc w:val="both"/>
        <w:rPr>
          <w:rFonts w:ascii="Arial Narrow" w:hAnsi="Arial Narrow"/>
        </w:rPr>
      </w:pPr>
    </w:p>
    <w:p w14:paraId="155CEB91" w14:textId="48F0AEEC" w:rsidR="002B4C5D" w:rsidRDefault="00E50F99" w:rsidP="004C3E20">
      <w:pPr>
        <w:spacing w:after="0"/>
        <w:jc w:val="both"/>
        <w:rPr>
          <w:rFonts w:ascii="Arial Narrow" w:hAnsi="Arial Narrow"/>
          <w:b/>
        </w:rPr>
      </w:pPr>
      <w:r w:rsidRPr="00E50F99">
        <w:rPr>
          <w:rFonts w:ascii="Arial Narrow" w:hAnsi="Arial Narrow"/>
          <w:b/>
        </w:rPr>
        <w:t>THE FIVE-YEAR TRUST IS BENEFICIAL FOR</w:t>
      </w:r>
      <w:r w:rsidR="00A20D40">
        <w:rPr>
          <w:rFonts w:ascii="Arial Narrow" w:hAnsi="Arial Narrow"/>
          <w:b/>
        </w:rPr>
        <w:t>:</w:t>
      </w:r>
    </w:p>
    <w:p w14:paraId="6C30E735" w14:textId="77777777" w:rsidR="00A20D40" w:rsidRPr="002B4C5D" w:rsidRDefault="00A20D40" w:rsidP="004C3E20">
      <w:pPr>
        <w:spacing w:after="0"/>
        <w:jc w:val="both"/>
        <w:rPr>
          <w:rFonts w:ascii="Arial Narrow" w:hAnsi="Arial Narrow"/>
        </w:rPr>
      </w:pPr>
    </w:p>
    <w:p w14:paraId="28C5DE3D" w14:textId="77777777" w:rsidR="00B55479" w:rsidRPr="002B4C5D" w:rsidRDefault="00B55479" w:rsidP="004C3E20">
      <w:pPr>
        <w:spacing w:after="0"/>
        <w:jc w:val="both"/>
        <w:rPr>
          <w:rFonts w:ascii="Arial Narrow" w:hAnsi="Arial Narrow"/>
          <w:b/>
          <w:u w:val="single"/>
        </w:rPr>
      </w:pPr>
      <w:r w:rsidRPr="002B4C5D">
        <w:rPr>
          <w:rFonts w:ascii="Arial Narrow" w:hAnsi="Arial Narrow"/>
          <w:b/>
          <w:u w:val="single"/>
        </w:rPr>
        <w:t>Protect</w:t>
      </w:r>
      <w:r w:rsidR="00AA052F">
        <w:rPr>
          <w:rFonts w:ascii="Arial Narrow" w:hAnsi="Arial Narrow"/>
          <w:b/>
          <w:u w:val="single"/>
        </w:rPr>
        <w:t>s</w:t>
      </w:r>
      <w:r w:rsidRPr="002B4C5D">
        <w:rPr>
          <w:rFonts w:ascii="Arial Narrow" w:hAnsi="Arial Narrow"/>
          <w:b/>
          <w:u w:val="single"/>
        </w:rPr>
        <w:t xml:space="preserve"> Assets</w:t>
      </w:r>
    </w:p>
    <w:p w14:paraId="49EB855A" w14:textId="6280FC3E" w:rsidR="00B55479" w:rsidRPr="002B4C5D" w:rsidRDefault="00B55479" w:rsidP="004C3E20">
      <w:pPr>
        <w:spacing w:after="0"/>
        <w:jc w:val="both"/>
        <w:rPr>
          <w:rFonts w:ascii="Arial Narrow" w:hAnsi="Arial Narrow"/>
        </w:rPr>
      </w:pPr>
      <w:r w:rsidRPr="002B4C5D">
        <w:rPr>
          <w:rFonts w:ascii="Arial Narrow" w:hAnsi="Arial Narrow"/>
        </w:rPr>
        <w:t xml:space="preserve">The assets you place in a </w:t>
      </w:r>
      <w:r w:rsidR="00AA052F">
        <w:rPr>
          <w:rFonts w:ascii="Arial Narrow" w:hAnsi="Arial Narrow"/>
        </w:rPr>
        <w:t>Five-Year</w:t>
      </w:r>
      <w:r w:rsidRPr="002B4C5D">
        <w:rPr>
          <w:rFonts w:ascii="Arial Narrow" w:hAnsi="Arial Narrow"/>
        </w:rPr>
        <w:t xml:space="preserve"> will no longer belong to you since you must turn control and beneficial interest of them to a trustworthy loved one. The </w:t>
      </w:r>
      <w:r w:rsidR="00AA052F">
        <w:rPr>
          <w:rFonts w:ascii="Arial Narrow" w:hAnsi="Arial Narrow"/>
        </w:rPr>
        <w:t>Five-Year</w:t>
      </w:r>
      <w:r w:rsidRPr="002B4C5D">
        <w:rPr>
          <w:rFonts w:ascii="Arial Narrow" w:hAnsi="Arial Narrow"/>
        </w:rPr>
        <w:t xml:space="preserve"> is not for everyone since the loved ones you name in the Trust have no obligation to return the Trust assets to you. </w:t>
      </w:r>
      <w:r w:rsidR="00A20D40">
        <w:rPr>
          <w:rFonts w:ascii="Arial Narrow" w:hAnsi="Arial Narrow"/>
        </w:rPr>
        <w:t xml:space="preserve">The </w:t>
      </w:r>
      <w:r w:rsidR="00A20D40" w:rsidRPr="002B4C5D">
        <w:rPr>
          <w:rFonts w:ascii="Arial Narrow" w:hAnsi="Arial Narrow"/>
        </w:rPr>
        <w:t>Trust</w:t>
      </w:r>
      <w:r w:rsidRPr="002B4C5D">
        <w:rPr>
          <w:rFonts w:ascii="Arial Narrow" w:hAnsi="Arial Narrow"/>
        </w:rPr>
        <w:t xml:space="preserve"> is irrevocable however, you will hold back a special power of appointment that allows you to change the ultimate trust beneficiaries after you pass.  </w:t>
      </w:r>
    </w:p>
    <w:p w14:paraId="6B67BA90" w14:textId="77777777" w:rsidR="002B4C5D" w:rsidRDefault="002B4C5D" w:rsidP="004C3E20">
      <w:pPr>
        <w:spacing w:after="0"/>
        <w:jc w:val="both"/>
        <w:rPr>
          <w:rFonts w:ascii="Arial Narrow" w:hAnsi="Arial Narrow"/>
          <w:b/>
          <w:u w:val="single"/>
        </w:rPr>
      </w:pPr>
    </w:p>
    <w:p w14:paraId="056D2399" w14:textId="77777777" w:rsidR="00B55479" w:rsidRPr="002B4C5D" w:rsidRDefault="00B55479" w:rsidP="004C3E20">
      <w:pPr>
        <w:spacing w:after="0"/>
        <w:jc w:val="both"/>
        <w:rPr>
          <w:rFonts w:ascii="Arial Narrow" w:hAnsi="Arial Narrow"/>
          <w:b/>
          <w:u w:val="single"/>
        </w:rPr>
      </w:pPr>
      <w:r w:rsidRPr="002B4C5D">
        <w:rPr>
          <w:rFonts w:ascii="Arial Narrow" w:hAnsi="Arial Narrow"/>
          <w:b/>
          <w:u w:val="single"/>
        </w:rPr>
        <w:t>Avoid</w:t>
      </w:r>
      <w:r w:rsidR="00AA052F">
        <w:rPr>
          <w:rFonts w:ascii="Arial Narrow" w:hAnsi="Arial Narrow"/>
          <w:b/>
          <w:u w:val="single"/>
        </w:rPr>
        <w:t>s</w:t>
      </w:r>
      <w:r w:rsidRPr="002B4C5D">
        <w:rPr>
          <w:rFonts w:ascii="Arial Narrow" w:hAnsi="Arial Narrow"/>
          <w:b/>
          <w:u w:val="single"/>
        </w:rPr>
        <w:t xml:space="preserve"> Estate Recovery</w:t>
      </w:r>
    </w:p>
    <w:p w14:paraId="46FB4CAB" w14:textId="77777777" w:rsidR="00B55479" w:rsidRPr="002B4C5D" w:rsidRDefault="004C3E20" w:rsidP="004C3E20">
      <w:pPr>
        <w:spacing w:after="0"/>
        <w:jc w:val="both"/>
        <w:rPr>
          <w:rFonts w:ascii="Arial Narrow" w:hAnsi="Arial Narrow"/>
        </w:rPr>
      </w:pPr>
      <w:r>
        <w:rPr>
          <w:rFonts w:ascii="Arial Narrow" w:hAnsi="Arial Narrow"/>
        </w:rPr>
        <w:t>Most people wish to protect assets not only during life, but after death so that the assets can be passed on to their beneficiaries. T</w:t>
      </w:r>
      <w:r w:rsidR="00B55479" w:rsidRPr="002B4C5D">
        <w:rPr>
          <w:rFonts w:ascii="Arial Narrow" w:hAnsi="Arial Narrow"/>
        </w:rPr>
        <w:t xml:space="preserve">he </w:t>
      </w:r>
      <w:r w:rsidR="00AA052F">
        <w:rPr>
          <w:rFonts w:ascii="Arial Narrow" w:hAnsi="Arial Narrow"/>
        </w:rPr>
        <w:t>Five-Year</w:t>
      </w:r>
      <w:r w:rsidR="00B55479" w:rsidRPr="002B4C5D">
        <w:rPr>
          <w:rFonts w:ascii="Arial Narrow" w:hAnsi="Arial Narrow"/>
        </w:rPr>
        <w:t xml:space="preserve"> avoid</w:t>
      </w:r>
      <w:r>
        <w:rPr>
          <w:rFonts w:ascii="Arial Narrow" w:hAnsi="Arial Narrow"/>
        </w:rPr>
        <w:t>s creditors including</w:t>
      </w:r>
      <w:r w:rsidR="00B55479" w:rsidRPr="002B4C5D">
        <w:rPr>
          <w:rFonts w:ascii="Arial Narrow" w:hAnsi="Arial Narrow"/>
        </w:rPr>
        <w:t xml:space="preserve"> our state’s Medicaid Estate Recovery efforts. Medicaid estate recovery happens when the state attempts to be paid back for Medicaid services provided to you</w:t>
      </w:r>
      <w:r>
        <w:rPr>
          <w:rFonts w:ascii="Arial Narrow" w:hAnsi="Arial Narrow"/>
        </w:rPr>
        <w:t>. They may go after</w:t>
      </w:r>
      <w:r w:rsidR="00B55479" w:rsidRPr="002B4C5D">
        <w:rPr>
          <w:rFonts w:ascii="Arial Narrow" w:hAnsi="Arial Narrow"/>
        </w:rPr>
        <w:t xml:space="preserve"> your property after you have passed away. A well drafted </w:t>
      </w:r>
      <w:r>
        <w:rPr>
          <w:rFonts w:ascii="Arial Narrow" w:hAnsi="Arial Narrow"/>
        </w:rPr>
        <w:t xml:space="preserve">and funded </w:t>
      </w:r>
      <w:r w:rsidR="00AA052F">
        <w:rPr>
          <w:rFonts w:ascii="Arial Narrow" w:hAnsi="Arial Narrow"/>
        </w:rPr>
        <w:t>Five-Year</w:t>
      </w:r>
      <w:r w:rsidR="00B55479" w:rsidRPr="002B4C5D">
        <w:rPr>
          <w:rFonts w:ascii="Arial Narrow" w:hAnsi="Arial Narrow"/>
        </w:rPr>
        <w:t xml:space="preserve"> will ensure that your assets remain out of the state’s reach after your death. </w:t>
      </w:r>
    </w:p>
    <w:p w14:paraId="31B91CC8" w14:textId="77777777" w:rsidR="002B4C5D" w:rsidRDefault="002B4C5D" w:rsidP="004C3E20">
      <w:pPr>
        <w:spacing w:after="0"/>
        <w:jc w:val="both"/>
        <w:rPr>
          <w:rFonts w:ascii="Arial Narrow" w:hAnsi="Arial Narrow"/>
          <w:b/>
          <w:u w:val="single"/>
        </w:rPr>
      </w:pPr>
    </w:p>
    <w:p w14:paraId="2591E446" w14:textId="77777777" w:rsidR="00B55479" w:rsidRPr="002B4C5D" w:rsidRDefault="00B55479" w:rsidP="004C3E20">
      <w:pPr>
        <w:spacing w:after="0"/>
        <w:jc w:val="both"/>
        <w:rPr>
          <w:rFonts w:ascii="Arial Narrow" w:hAnsi="Arial Narrow"/>
          <w:b/>
          <w:u w:val="single"/>
        </w:rPr>
      </w:pPr>
      <w:r w:rsidRPr="002B4C5D">
        <w:rPr>
          <w:rFonts w:ascii="Arial Narrow" w:hAnsi="Arial Narrow"/>
          <w:b/>
          <w:u w:val="single"/>
        </w:rPr>
        <w:t>Avoid</w:t>
      </w:r>
      <w:r w:rsidR="00AA052F">
        <w:rPr>
          <w:rFonts w:ascii="Arial Narrow" w:hAnsi="Arial Narrow"/>
          <w:b/>
          <w:u w:val="single"/>
        </w:rPr>
        <w:t>s</w:t>
      </w:r>
      <w:r w:rsidRPr="002B4C5D">
        <w:rPr>
          <w:rFonts w:ascii="Arial Narrow" w:hAnsi="Arial Narrow"/>
          <w:b/>
          <w:u w:val="single"/>
        </w:rPr>
        <w:t xml:space="preserve"> the 5 “D”</w:t>
      </w:r>
      <w:r w:rsidR="004C0208">
        <w:rPr>
          <w:rFonts w:ascii="Arial Narrow" w:hAnsi="Arial Narrow"/>
          <w:b/>
          <w:u w:val="single"/>
        </w:rPr>
        <w:t xml:space="preserve"> issues</w:t>
      </w:r>
      <w:r w:rsidRPr="002B4C5D">
        <w:rPr>
          <w:rFonts w:ascii="Arial Narrow" w:hAnsi="Arial Narrow"/>
          <w:b/>
          <w:u w:val="single"/>
        </w:rPr>
        <w:t xml:space="preserve"> that your loved ones may experience</w:t>
      </w:r>
    </w:p>
    <w:p w14:paraId="68EF0D12" w14:textId="7622DD7A" w:rsidR="00B55479" w:rsidRPr="002B4C5D" w:rsidRDefault="004C0208" w:rsidP="004C3E20">
      <w:pPr>
        <w:spacing w:after="0"/>
        <w:jc w:val="both"/>
        <w:rPr>
          <w:rFonts w:ascii="Arial Narrow" w:hAnsi="Arial Narrow"/>
        </w:rPr>
      </w:pPr>
      <w:r>
        <w:rPr>
          <w:rFonts w:ascii="Arial Narrow" w:hAnsi="Arial Narrow"/>
        </w:rPr>
        <w:t>Some people have asked, “W</w:t>
      </w:r>
      <w:r w:rsidR="00B55479" w:rsidRPr="002B4C5D">
        <w:rPr>
          <w:rFonts w:ascii="Arial Narrow" w:hAnsi="Arial Narrow"/>
        </w:rPr>
        <w:t xml:space="preserve">ouldn’t it be better to make outright gifts directly to </w:t>
      </w:r>
      <w:r w:rsidR="002F0C12" w:rsidRPr="002B4C5D">
        <w:rPr>
          <w:rFonts w:ascii="Arial Narrow" w:hAnsi="Arial Narrow"/>
        </w:rPr>
        <w:t>your</w:t>
      </w:r>
      <w:r w:rsidR="00B55479" w:rsidRPr="002B4C5D">
        <w:rPr>
          <w:rFonts w:ascii="Arial Narrow" w:hAnsi="Arial Narrow"/>
        </w:rPr>
        <w:t xml:space="preserve"> loved ones without restrictions?</w:t>
      </w:r>
      <w:r>
        <w:rPr>
          <w:rFonts w:ascii="Arial Narrow" w:hAnsi="Arial Narrow"/>
        </w:rPr>
        <w:t>”</w:t>
      </w:r>
      <w:r w:rsidR="00B55479" w:rsidRPr="002B4C5D">
        <w:rPr>
          <w:rFonts w:ascii="Arial Narrow" w:hAnsi="Arial Narrow"/>
        </w:rPr>
        <w:t xml:space="preserve"> These kinds of outright gifts are subject to the 5 “D’s” your loved ones may experience in their l</w:t>
      </w:r>
      <w:r w:rsidR="00000241" w:rsidRPr="002B4C5D">
        <w:rPr>
          <w:rFonts w:ascii="Arial Narrow" w:hAnsi="Arial Narrow"/>
        </w:rPr>
        <w:t>i</w:t>
      </w:r>
      <w:r w:rsidR="00B55479" w:rsidRPr="002B4C5D">
        <w:rPr>
          <w:rFonts w:ascii="Arial Narrow" w:hAnsi="Arial Narrow"/>
        </w:rPr>
        <w:t xml:space="preserve">ves: divorce, debt, disability, disharmony and death. Outright gifts provide no protection to you. A properly drafted </w:t>
      </w:r>
      <w:r w:rsidR="00AA052F">
        <w:rPr>
          <w:rFonts w:ascii="Arial Narrow" w:hAnsi="Arial Narrow"/>
        </w:rPr>
        <w:t>Five-Year</w:t>
      </w:r>
      <w:r w:rsidR="00B55479" w:rsidRPr="002B4C5D">
        <w:rPr>
          <w:rFonts w:ascii="Arial Narrow" w:hAnsi="Arial Narrow"/>
        </w:rPr>
        <w:t xml:space="preserve"> will minimize the risks of the 5</w:t>
      </w:r>
      <w:r w:rsidR="00A20D40">
        <w:rPr>
          <w:rFonts w:ascii="Arial Narrow" w:hAnsi="Arial Narrow"/>
        </w:rPr>
        <w:t xml:space="preserve"> “</w:t>
      </w:r>
      <w:r w:rsidR="00B55479" w:rsidRPr="002B4C5D">
        <w:rPr>
          <w:rFonts w:ascii="Arial Narrow" w:hAnsi="Arial Narrow"/>
        </w:rPr>
        <w:t xml:space="preserve">D’s” </w:t>
      </w:r>
    </w:p>
    <w:p w14:paraId="19EC5B54" w14:textId="77777777" w:rsidR="00B55479" w:rsidRPr="002B4C5D" w:rsidRDefault="00B55479" w:rsidP="004C3E20">
      <w:pPr>
        <w:spacing w:after="0"/>
        <w:jc w:val="both"/>
        <w:rPr>
          <w:rFonts w:ascii="Arial Narrow" w:hAnsi="Arial Narrow"/>
          <w:b/>
          <w:u w:val="single"/>
        </w:rPr>
      </w:pPr>
      <w:r w:rsidRPr="002B4C5D">
        <w:rPr>
          <w:rFonts w:ascii="Arial Narrow" w:hAnsi="Arial Narrow"/>
          <w:b/>
          <w:u w:val="single"/>
        </w:rPr>
        <w:lastRenderedPageBreak/>
        <w:t>Preserv</w:t>
      </w:r>
      <w:r w:rsidR="00AA052F">
        <w:rPr>
          <w:rFonts w:ascii="Arial Narrow" w:hAnsi="Arial Narrow"/>
          <w:b/>
          <w:u w:val="single"/>
        </w:rPr>
        <w:t xml:space="preserve">es </w:t>
      </w:r>
      <w:r w:rsidRPr="002B4C5D">
        <w:rPr>
          <w:rFonts w:ascii="Arial Narrow" w:hAnsi="Arial Narrow"/>
          <w:b/>
          <w:u w:val="single"/>
        </w:rPr>
        <w:t>the Stepped-up Basis</w:t>
      </w:r>
    </w:p>
    <w:p w14:paraId="1B785C97" w14:textId="77777777" w:rsidR="00CC12AC" w:rsidRPr="004C3E20" w:rsidRDefault="00B55479" w:rsidP="004C3E20">
      <w:pPr>
        <w:spacing w:after="0"/>
        <w:jc w:val="both"/>
        <w:rPr>
          <w:rFonts w:ascii="Arial Narrow" w:hAnsi="Arial Narrow"/>
        </w:rPr>
      </w:pPr>
      <w:r w:rsidRPr="002B4C5D">
        <w:rPr>
          <w:rFonts w:ascii="Arial Narrow" w:hAnsi="Arial Narrow"/>
        </w:rPr>
        <w:t xml:space="preserve">The stepped-up basis tax advantage is one of the great tax breaks for the middle class. It allows loved ones to inherit land, stocks or other capital assets at the date of death value, not your basis, or date of purchase value. Your beneficiaries could then sell the property while avoiding the income tax that would normally be due. </w:t>
      </w:r>
      <w:r w:rsidR="004C3E20">
        <w:rPr>
          <w:rFonts w:ascii="Arial Narrow" w:hAnsi="Arial Narrow"/>
        </w:rPr>
        <w:t xml:space="preserve">This is one of the best tax benefits today. </w:t>
      </w:r>
      <w:r w:rsidRPr="002B4C5D">
        <w:rPr>
          <w:rFonts w:ascii="Arial Narrow" w:hAnsi="Arial Narrow"/>
        </w:rPr>
        <w:t xml:space="preserve">The </w:t>
      </w:r>
      <w:r w:rsidR="00AA052F">
        <w:rPr>
          <w:rFonts w:ascii="Arial Narrow" w:hAnsi="Arial Narrow"/>
        </w:rPr>
        <w:t>Five-Year</w:t>
      </w:r>
      <w:r w:rsidRPr="002B4C5D">
        <w:rPr>
          <w:rFonts w:ascii="Arial Narrow" w:hAnsi="Arial Narrow"/>
        </w:rPr>
        <w:t xml:space="preserve"> retains this tax advantage through the use of a special power of appointment.  Outright gifts would not qualify for this tax break</w:t>
      </w:r>
    </w:p>
    <w:p w14:paraId="7384D3BC" w14:textId="77777777" w:rsidR="00AA052F" w:rsidRDefault="00AA052F" w:rsidP="004C3E20">
      <w:pPr>
        <w:spacing w:after="0"/>
        <w:jc w:val="both"/>
        <w:rPr>
          <w:rFonts w:ascii="Arial Narrow" w:hAnsi="Arial Narrow"/>
          <w:b/>
          <w:u w:val="single"/>
        </w:rPr>
      </w:pPr>
    </w:p>
    <w:p w14:paraId="49BBCD0E" w14:textId="77777777" w:rsidR="00B55479" w:rsidRPr="002B4C5D" w:rsidRDefault="002B4C5D" w:rsidP="004C3E20">
      <w:pPr>
        <w:spacing w:after="0"/>
        <w:jc w:val="both"/>
        <w:rPr>
          <w:rFonts w:ascii="Arial Narrow" w:hAnsi="Arial Narrow"/>
          <w:b/>
          <w:u w:val="single"/>
        </w:rPr>
      </w:pPr>
      <w:r>
        <w:rPr>
          <w:rFonts w:ascii="Arial Narrow" w:hAnsi="Arial Narrow"/>
          <w:b/>
          <w:u w:val="single"/>
        </w:rPr>
        <w:t>Sav</w:t>
      </w:r>
      <w:r w:rsidR="00AA052F">
        <w:rPr>
          <w:rFonts w:ascii="Arial Narrow" w:hAnsi="Arial Narrow"/>
          <w:b/>
          <w:u w:val="single"/>
        </w:rPr>
        <w:t>e</w:t>
      </w:r>
      <w:r>
        <w:rPr>
          <w:rFonts w:ascii="Arial Narrow" w:hAnsi="Arial Narrow"/>
          <w:b/>
          <w:u w:val="single"/>
        </w:rPr>
        <w:t>s</w:t>
      </w:r>
      <w:r w:rsidR="00AA052F">
        <w:rPr>
          <w:rFonts w:ascii="Arial Narrow" w:hAnsi="Arial Narrow"/>
          <w:b/>
          <w:u w:val="single"/>
        </w:rPr>
        <w:t xml:space="preserve"> on Income Taxes</w:t>
      </w:r>
    </w:p>
    <w:p w14:paraId="44B6725E" w14:textId="77777777" w:rsidR="00B55479" w:rsidRDefault="00B55479" w:rsidP="004C3E20">
      <w:pPr>
        <w:spacing w:after="0"/>
        <w:jc w:val="both"/>
        <w:rPr>
          <w:rFonts w:ascii="Arial Narrow" w:hAnsi="Arial Narrow"/>
        </w:rPr>
      </w:pPr>
      <w:r w:rsidRPr="002B4C5D">
        <w:rPr>
          <w:rFonts w:ascii="Arial Narrow" w:hAnsi="Arial Narrow"/>
        </w:rPr>
        <w:t xml:space="preserve">The special power of appointment in the </w:t>
      </w:r>
      <w:r w:rsidR="00AA052F">
        <w:rPr>
          <w:rFonts w:ascii="Arial Narrow" w:hAnsi="Arial Narrow"/>
        </w:rPr>
        <w:t>Five-Year</w:t>
      </w:r>
      <w:r w:rsidRPr="002B4C5D">
        <w:rPr>
          <w:rFonts w:ascii="Arial Narrow" w:hAnsi="Arial Narrow"/>
        </w:rPr>
        <w:t xml:space="preserve"> allows you to be taxed individually on any income earned on trust assets rather than being taxed at the higher grantor trust tax bracket. </w:t>
      </w:r>
    </w:p>
    <w:p w14:paraId="264E69A6" w14:textId="77777777" w:rsidR="00AA052F" w:rsidRDefault="00AA052F" w:rsidP="004C3E20">
      <w:pPr>
        <w:spacing w:after="0"/>
        <w:jc w:val="both"/>
        <w:rPr>
          <w:rFonts w:ascii="Arial Narrow" w:hAnsi="Arial Narrow"/>
          <w:b/>
          <w:u w:val="single"/>
        </w:rPr>
      </w:pPr>
    </w:p>
    <w:p w14:paraId="2937D58E" w14:textId="77777777" w:rsidR="00B55479" w:rsidRPr="002B4C5D" w:rsidRDefault="00CC12AC" w:rsidP="004C3E20">
      <w:pPr>
        <w:spacing w:after="0"/>
        <w:jc w:val="both"/>
        <w:rPr>
          <w:rFonts w:ascii="Arial Narrow" w:hAnsi="Arial Narrow"/>
          <w:b/>
          <w:u w:val="single"/>
        </w:rPr>
      </w:pPr>
      <w:r>
        <w:rPr>
          <w:rFonts w:ascii="Arial Narrow" w:hAnsi="Arial Narrow"/>
          <w:b/>
          <w:u w:val="single"/>
        </w:rPr>
        <w:t xml:space="preserve">Alternative </w:t>
      </w:r>
      <w:r w:rsidR="00B55479" w:rsidRPr="002B4C5D">
        <w:rPr>
          <w:rFonts w:ascii="Arial Narrow" w:hAnsi="Arial Narrow"/>
          <w:b/>
          <w:u w:val="single"/>
        </w:rPr>
        <w:t>VA Aid &amp; Attendance Trust</w:t>
      </w:r>
    </w:p>
    <w:p w14:paraId="5E0870AA" w14:textId="77777777" w:rsidR="00B55479" w:rsidRPr="002B4C5D" w:rsidRDefault="00B55479" w:rsidP="004C3E20">
      <w:pPr>
        <w:spacing w:after="0"/>
        <w:jc w:val="both"/>
        <w:rPr>
          <w:rFonts w:ascii="Arial Narrow" w:hAnsi="Arial Narrow"/>
        </w:rPr>
      </w:pPr>
      <w:r w:rsidRPr="002B4C5D">
        <w:rPr>
          <w:rFonts w:ascii="Arial Narrow" w:hAnsi="Arial Narrow"/>
        </w:rPr>
        <w:t xml:space="preserve">There is an alternate version of the </w:t>
      </w:r>
      <w:r w:rsidR="00AA052F">
        <w:rPr>
          <w:rFonts w:ascii="Arial Narrow" w:hAnsi="Arial Narrow"/>
        </w:rPr>
        <w:t>Five-Year</w:t>
      </w:r>
      <w:r w:rsidRPr="002B4C5D">
        <w:rPr>
          <w:rFonts w:ascii="Arial Narrow" w:hAnsi="Arial Narrow"/>
        </w:rPr>
        <w:t xml:space="preserve"> for those who wish to apply for the Aid &amp; Attendance benefit. Due to special VA rules, a non-grantor version of the </w:t>
      </w:r>
      <w:r w:rsidR="00AA052F">
        <w:rPr>
          <w:rFonts w:ascii="Arial Narrow" w:hAnsi="Arial Narrow"/>
        </w:rPr>
        <w:t>Five-Year</w:t>
      </w:r>
      <w:r w:rsidRPr="002B4C5D">
        <w:rPr>
          <w:rFonts w:ascii="Arial Narrow" w:hAnsi="Arial Narrow"/>
        </w:rPr>
        <w:t xml:space="preserve"> is recommended.  </w:t>
      </w:r>
    </w:p>
    <w:p w14:paraId="04D71FEC" w14:textId="77777777" w:rsidR="002F0C12" w:rsidRPr="002B4C5D" w:rsidRDefault="002F0C12" w:rsidP="004C3E20">
      <w:pPr>
        <w:autoSpaceDE w:val="0"/>
        <w:autoSpaceDN w:val="0"/>
        <w:adjustRightInd w:val="0"/>
        <w:spacing w:after="0" w:line="240" w:lineRule="auto"/>
        <w:jc w:val="both"/>
        <w:rPr>
          <w:rFonts w:ascii="Arial Narrow" w:hAnsi="Arial Narrow"/>
          <w:sz w:val="24"/>
          <w:szCs w:val="24"/>
        </w:rPr>
      </w:pPr>
    </w:p>
    <w:p w14:paraId="4BF0655E" w14:textId="431C406B" w:rsidR="00212223" w:rsidRDefault="00AA052F" w:rsidP="004C3E20">
      <w:pPr>
        <w:autoSpaceDE w:val="0"/>
        <w:autoSpaceDN w:val="0"/>
        <w:adjustRightInd w:val="0"/>
        <w:spacing w:after="0" w:line="240" w:lineRule="auto"/>
        <w:jc w:val="both"/>
        <w:rPr>
          <w:rFonts w:ascii="Arial Narrow" w:hAnsi="Arial Narrow"/>
        </w:rPr>
      </w:pPr>
      <w:r>
        <w:rPr>
          <w:rFonts w:ascii="Arial Narrow" w:hAnsi="Arial Narrow"/>
        </w:rPr>
        <w:t>As you can see, even if a person never used Medicaid (because we all hope we will never need to) the trust can provide huge</w:t>
      </w:r>
      <w:r w:rsidR="00141922">
        <w:rPr>
          <w:rFonts w:ascii="Arial Narrow" w:hAnsi="Arial Narrow"/>
        </w:rPr>
        <w:t xml:space="preserve"> </w:t>
      </w:r>
      <w:r w:rsidR="00141922" w:rsidRPr="00141922">
        <w:rPr>
          <w:rFonts w:ascii="Arial Narrow" w:hAnsi="Arial Narrow"/>
          <w:shd w:val="clear" w:color="auto" w:fill="FFFF00"/>
        </w:rPr>
        <w:t>estate planning</w:t>
      </w:r>
      <w:r>
        <w:rPr>
          <w:rFonts w:ascii="Arial Narrow" w:hAnsi="Arial Narrow"/>
        </w:rPr>
        <w:t xml:space="preserve"> </w:t>
      </w:r>
      <w:r w:rsidR="003A2F8B">
        <w:rPr>
          <w:rFonts w:ascii="Arial Narrow" w:hAnsi="Arial Narrow"/>
        </w:rPr>
        <w:t>(</w:t>
      </w:r>
      <w:hyperlink r:id="rId12" w:history="1">
        <w:r w:rsidR="003A2F8B">
          <w:rPr>
            <w:rStyle w:val="Hyperlink"/>
          </w:rPr>
          <w:t>St. Petersburg Trust &amp; Wills Lawyer | HKH Elder Law</w:t>
        </w:r>
      </w:hyperlink>
      <w:r w:rsidR="003A2F8B">
        <w:t>)</w:t>
      </w:r>
      <w:r w:rsidR="00141922">
        <w:t xml:space="preserve"> </w:t>
      </w:r>
      <w:r>
        <w:rPr>
          <w:rFonts w:ascii="Arial Narrow" w:hAnsi="Arial Narrow"/>
        </w:rPr>
        <w:t>benefits to the individual and his family.  Five Year Trusts are unique</w:t>
      </w:r>
      <w:r w:rsidR="00141922">
        <w:rPr>
          <w:rFonts w:ascii="Arial Narrow" w:hAnsi="Arial Narrow"/>
        </w:rPr>
        <w:t xml:space="preserve"> and beneficial</w:t>
      </w:r>
      <w:r>
        <w:rPr>
          <w:rFonts w:ascii="Arial Narrow" w:hAnsi="Arial Narrow"/>
        </w:rPr>
        <w:t xml:space="preserve"> planning tools</w:t>
      </w:r>
      <w:r w:rsidR="00141922">
        <w:rPr>
          <w:rFonts w:ascii="Arial Narrow" w:hAnsi="Arial Narrow"/>
        </w:rPr>
        <w:t xml:space="preserve"> to consider. </w:t>
      </w:r>
      <w:r>
        <w:rPr>
          <w:rFonts w:ascii="Arial Narrow" w:hAnsi="Arial Narrow"/>
        </w:rPr>
        <w:t xml:space="preserve"> </w:t>
      </w:r>
    </w:p>
    <w:p w14:paraId="606DAFAC" w14:textId="77777777" w:rsidR="00AA052F" w:rsidRDefault="00AA052F" w:rsidP="004C3E20">
      <w:pPr>
        <w:autoSpaceDE w:val="0"/>
        <w:autoSpaceDN w:val="0"/>
        <w:adjustRightInd w:val="0"/>
        <w:spacing w:after="0" w:line="240" w:lineRule="auto"/>
        <w:jc w:val="both"/>
        <w:rPr>
          <w:rFonts w:ascii="Arial Narrow" w:hAnsi="Arial Narrow"/>
        </w:rPr>
      </w:pPr>
    </w:p>
    <w:p w14:paraId="6AF9423B" w14:textId="114B9B6C" w:rsidR="00CC12AC" w:rsidRDefault="00CC12AC" w:rsidP="004C3E20">
      <w:pPr>
        <w:autoSpaceDE w:val="0"/>
        <w:autoSpaceDN w:val="0"/>
        <w:adjustRightInd w:val="0"/>
        <w:spacing w:after="0" w:line="240" w:lineRule="auto"/>
        <w:jc w:val="both"/>
        <w:rPr>
          <w:rFonts w:ascii="Arial Narrow" w:hAnsi="Arial Narrow"/>
          <w:b/>
        </w:rPr>
      </w:pPr>
      <w:r w:rsidRPr="00CC12AC">
        <w:rPr>
          <w:rFonts w:ascii="Arial Narrow" w:hAnsi="Arial Narrow"/>
          <w:b/>
        </w:rPr>
        <w:t xml:space="preserve">To further explore the </w:t>
      </w:r>
      <w:r w:rsidR="00AA052F">
        <w:rPr>
          <w:rFonts w:ascii="Arial Narrow" w:hAnsi="Arial Narrow"/>
          <w:b/>
        </w:rPr>
        <w:t>Five-Year</w:t>
      </w:r>
      <w:r w:rsidRPr="00CC12AC">
        <w:rPr>
          <w:rFonts w:ascii="Arial Narrow" w:hAnsi="Arial Narrow"/>
          <w:b/>
        </w:rPr>
        <w:t xml:space="preserve"> or Medicaid asset protection strategies, please call our office at 727-</w:t>
      </w:r>
      <w:r w:rsidR="00171385">
        <w:rPr>
          <w:rFonts w:ascii="Arial Narrow" w:hAnsi="Arial Narrow"/>
          <w:b/>
        </w:rPr>
        <w:t>343</w:t>
      </w:r>
      <w:r w:rsidRPr="00CC12AC">
        <w:rPr>
          <w:rFonts w:ascii="Arial Narrow" w:hAnsi="Arial Narrow"/>
          <w:b/>
        </w:rPr>
        <w:t>-</w:t>
      </w:r>
      <w:r w:rsidR="00171385">
        <w:rPr>
          <w:rFonts w:ascii="Arial Narrow" w:hAnsi="Arial Narrow"/>
          <w:b/>
        </w:rPr>
        <w:t>8959</w:t>
      </w:r>
      <w:r w:rsidR="004C0208">
        <w:rPr>
          <w:rFonts w:ascii="Arial Narrow" w:hAnsi="Arial Narrow"/>
          <w:b/>
        </w:rPr>
        <w:t xml:space="preserve"> to go to </w:t>
      </w:r>
      <w:r w:rsidR="003A2F8B">
        <w:rPr>
          <w:rFonts w:ascii="Arial Narrow" w:hAnsi="Arial Narrow"/>
          <w:b/>
        </w:rPr>
        <w:t>(</w:t>
      </w:r>
      <w:hyperlink r:id="rId13" w:history="1">
        <w:r w:rsidR="003A2F8B" w:rsidRPr="00094A76">
          <w:rPr>
            <w:rStyle w:val="Hyperlink"/>
          </w:rPr>
          <w:t>https://www.HKHelderlaw.com</w:t>
        </w:r>
      </w:hyperlink>
      <w:r w:rsidR="003A2F8B">
        <w:t>)</w:t>
      </w:r>
      <w:r w:rsidRPr="00CC12AC">
        <w:rPr>
          <w:rFonts w:ascii="Arial Narrow" w:hAnsi="Arial Narrow"/>
          <w:b/>
        </w:rPr>
        <w:t xml:space="preserve"> to schedule a </w:t>
      </w:r>
      <w:r w:rsidR="003A2F8B">
        <w:rPr>
          <w:rFonts w:ascii="Arial Narrow" w:hAnsi="Arial Narrow"/>
          <w:b/>
        </w:rPr>
        <w:t xml:space="preserve">FREE </w:t>
      </w:r>
      <w:r w:rsidRPr="00CC12AC">
        <w:rPr>
          <w:rFonts w:ascii="Arial Narrow" w:hAnsi="Arial Narrow"/>
          <w:b/>
        </w:rPr>
        <w:t xml:space="preserve">consultation. </w:t>
      </w:r>
    </w:p>
    <w:p w14:paraId="776ECF16" w14:textId="77777777" w:rsidR="004C0208" w:rsidRDefault="004C0208" w:rsidP="004C3E20">
      <w:pPr>
        <w:autoSpaceDE w:val="0"/>
        <w:autoSpaceDN w:val="0"/>
        <w:adjustRightInd w:val="0"/>
        <w:spacing w:after="0" w:line="240" w:lineRule="auto"/>
        <w:jc w:val="both"/>
        <w:rPr>
          <w:rFonts w:ascii="Arial Narrow" w:hAnsi="Arial Narrow"/>
          <w:b/>
        </w:rPr>
      </w:pPr>
    </w:p>
    <w:p w14:paraId="710B705B" w14:textId="77777777" w:rsidR="004C0208" w:rsidRDefault="004C0208" w:rsidP="004C3E20">
      <w:pPr>
        <w:autoSpaceDE w:val="0"/>
        <w:autoSpaceDN w:val="0"/>
        <w:adjustRightInd w:val="0"/>
        <w:spacing w:after="0" w:line="240" w:lineRule="auto"/>
        <w:jc w:val="both"/>
        <w:rPr>
          <w:rFonts w:ascii="Arial Narrow" w:hAnsi="Arial Narrow"/>
          <w:b/>
        </w:rPr>
      </w:pPr>
    </w:p>
    <w:p w14:paraId="5EE24C84" w14:textId="2227369D" w:rsidR="004C0208" w:rsidRPr="004C0208" w:rsidRDefault="004C0208" w:rsidP="004C0208">
      <w:pPr>
        <w:autoSpaceDE w:val="0"/>
        <w:autoSpaceDN w:val="0"/>
        <w:adjustRightInd w:val="0"/>
        <w:spacing w:after="0" w:line="240" w:lineRule="auto"/>
        <w:jc w:val="both"/>
        <w:rPr>
          <w:rFonts w:ascii="Arial Narrow" w:hAnsi="Arial Narrow"/>
          <w:b/>
          <w:bCs/>
          <w:i/>
          <w:iCs/>
        </w:rPr>
      </w:pPr>
      <w:r w:rsidRPr="004C0208">
        <w:rPr>
          <w:rFonts w:ascii="Arial Narrow" w:hAnsi="Arial Narrow"/>
          <w:b/>
          <w:bCs/>
          <w:i/>
          <w:iCs/>
        </w:rPr>
        <w:t xml:space="preserve">This handout is for </w:t>
      </w:r>
      <w:r>
        <w:rPr>
          <w:rFonts w:ascii="Arial Narrow" w:hAnsi="Arial Narrow"/>
          <w:b/>
          <w:bCs/>
          <w:i/>
          <w:iCs/>
        </w:rPr>
        <w:t xml:space="preserve">information and </w:t>
      </w:r>
      <w:r w:rsidRPr="004C0208">
        <w:rPr>
          <w:rFonts w:ascii="Arial Narrow" w:hAnsi="Arial Narrow"/>
          <w:b/>
          <w:bCs/>
          <w:i/>
          <w:iCs/>
        </w:rPr>
        <w:t xml:space="preserve">education purposes only and should not be considered legal advice. Each person’s situation is </w:t>
      </w:r>
      <w:r w:rsidR="003A2F8B" w:rsidRPr="004C0208">
        <w:rPr>
          <w:rFonts w:ascii="Arial Narrow" w:hAnsi="Arial Narrow"/>
          <w:b/>
          <w:bCs/>
          <w:i/>
          <w:iCs/>
        </w:rPr>
        <w:t>unique,</w:t>
      </w:r>
      <w:r w:rsidRPr="004C0208">
        <w:rPr>
          <w:rFonts w:ascii="Arial Narrow" w:hAnsi="Arial Narrow"/>
          <w:b/>
          <w:bCs/>
          <w:i/>
          <w:iCs/>
        </w:rPr>
        <w:t xml:space="preserve"> and each should seek legal advice form a qualified attorney. </w:t>
      </w:r>
    </w:p>
    <w:p w14:paraId="2A9E4EBA" w14:textId="77777777" w:rsidR="004C0208" w:rsidRPr="00CC12AC" w:rsidRDefault="004C0208" w:rsidP="004C3E20">
      <w:pPr>
        <w:autoSpaceDE w:val="0"/>
        <w:autoSpaceDN w:val="0"/>
        <w:adjustRightInd w:val="0"/>
        <w:spacing w:after="0" w:line="240" w:lineRule="auto"/>
        <w:jc w:val="both"/>
        <w:rPr>
          <w:rFonts w:ascii="Arial Narrow" w:hAnsi="Arial Narrow"/>
          <w:b/>
        </w:rPr>
      </w:pPr>
    </w:p>
    <w:sectPr w:rsidR="004C0208" w:rsidRPr="00CC12AC" w:rsidSect="00BF5FB0">
      <w:headerReference w:type="first" r:id="rId14"/>
      <w:pgSz w:w="12240" w:h="15840" w:code="1"/>
      <w:pgMar w:top="265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9A3BD" w14:textId="77777777" w:rsidR="008038BD" w:rsidRDefault="008038BD" w:rsidP="00775093">
      <w:pPr>
        <w:spacing w:after="0" w:line="240" w:lineRule="auto"/>
      </w:pPr>
      <w:r>
        <w:separator/>
      </w:r>
    </w:p>
  </w:endnote>
  <w:endnote w:type="continuationSeparator" w:id="0">
    <w:p w14:paraId="52C8B097" w14:textId="77777777" w:rsidR="008038BD" w:rsidRDefault="008038BD" w:rsidP="0077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4B5E1" w14:textId="77777777" w:rsidR="008038BD" w:rsidRDefault="008038BD" w:rsidP="00775093">
      <w:pPr>
        <w:spacing w:after="0" w:line="240" w:lineRule="auto"/>
      </w:pPr>
      <w:r>
        <w:separator/>
      </w:r>
    </w:p>
  </w:footnote>
  <w:footnote w:type="continuationSeparator" w:id="0">
    <w:p w14:paraId="457AD7FA" w14:textId="77777777" w:rsidR="008038BD" w:rsidRDefault="008038BD" w:rsidP="0077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638"/>
      <w:gridCol w:w="222"/>
      <w:gridCol w:w="5500"/>
    </w:tblGrid>
    <w:tr w:rsidR="00883F23" w:rsidRPr="00BB19AE" w14:paraId="014A0A62" w14:textId="77777777" w:rsidTr="005A6AB0">
      <w:tc>
        <w:tcPr>
          <w:tcW w:w="2496" w:type="dxa"/>
          <w:shd w:val="clear" w:color="auto" w:fill="auto"/>
        </w:tcPr>
        <w:p w14:paraId="66A1A194" w14:textId="41BF8A8E" w:rsidR="00883F23" w:rsidRPr="00BB19AE" w:rsidRDefault="00823AA5" w:rsidP="00BB19AE">
          <w:pPr>
            <w:spacing w:after="0" w:line="240" w:lineRule="auto"/>
          </w:pPr>
          <w:r>
            <w:rPr>
              <w:noProof/>
            </w:rPr>
            <w:drawing>
              <wp:inline distT="0" distB="0" distL="0" distR="0" wp14:anchorId="309EE32B" wp14:editId="0631DB87">
                <wp:extent cx="2255520" cy="1447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1447800"/>
                        </a:xfrm>
                        <a:prstGeom prst="rect">
                          <a:avLst/>
                        </a:prstGeom>
                        <a:noFill/>
                        <a:ln>
                          <a:noFill/>
                        </a:ln>
                      </pic:spPr>
                    </pic:pic>
                  </a:graphicData>
                </a:graphic>
              </wp:inline>
            </w:drawing>
          </w:r>
        </w:p>
      </w:tc>
      <w:tc>
        <w:tcPr>
          <w:tcW w:w="1482" w:type="dxa"/>
          <w:tcBorders>
            <w:bottom w:val="single" w:sz="4" w:space="0" w:color="auto"/>
          </w:tcBorders>
          <w:shd w:val="clear" w:color="auto" w:fill="auto"/>
        </w:tcPr>
        <w:p w14:paraId="61C093F7" w14:textId="77777777" w:rsidR="00883F23" w:rsidRPr="00BB19AE" w:rsidRDefault="00883F23" w:rsidP="00BB19AE">
          <w:pPr>
            <w:spacing w:after="0" w:line="240" w:lineRule="auto"/>
          </w:pPr>
        </w:p>
      </w:tc>
      <w:tc>
        <w:tcPr>
          <w:tcW w:w="5598" w:type="dxa"/>
          <w:tcBorders>
            <w:bottom w:val="single" w:sz="4" w:space="0" w:color="auto"/>
          </w:tcBorders>
          <w:shd w:val="clear" w:color="auto" w:fill="auto"/>
        </w:tcPr>
        <w:p w14:paraId="33F94578" w14:textId="77777777" w:rsidR="00883F23" w:rsidRPr="00BB19AE" w:rsidRDefault="00883F23" w:rsidP="00BB19AE">
          <w:pPr>
            <w:spacing w:after="0" w:line="240" w:lineRule="auto"/>
            <w:jc w:val="right"/>
            <w:rPr>
              <w:rFonts w:ascii="Arial" w:hAnsi="Arial" w:cs="Arial"/>
            </w:rPr>
          </w:pPr>
        </w:p>
        <w:p w14:paraId="7CEAE528" w14:textId="77777777" w:rsidR="00883F23" w:rsidRPr="00BB19AE" w:rsidRDefault="00883F23" w:rsidP="00BB19AE">
          <w:pPr>
            <w:spacing w:after="0" w:line="240" w:lineRule="auto"/>
            <w:jc w:val="right"/>
            <w:rPr>
              <w:rFonts w:ascii="Arial" w:hAnsi="Arial" w:cs="Arial"/>
            </w:rPr>
          </w:pPr>
        </w:p>
        <w:p w14:paraId="5A662431" w14:textId="77777777" w:rsidR="00883F23" w:rsidRPr="00BB19AE" w:rsidRDefault="00883F23" w:rsidP="00BB19AE">
          <w:pPr>
            <w:spacing w:after="0" w:line="240" w:lineRule="auto"/>
            <w:rPr>
              <w:rFonts w:ascii="Arial" w:hAnsi="Arial" w:cs="Arial"/>
            </w:rPr>
          </w:pPr>
        </w:p>
        <w:p w14:paraId="1B8764F6" w14:textId="77777777" w:rsidR="00883F23" w:rsidRPr="00BB19AE" w:rsidRDefault="00883F23" w:rsidP="00BB19AE">
          <w:pPr>
            <w:spacing w:after="0" w:line="240" w:lineRule="auto"/>
            <w:jc w:val="right"/>
            <w:rPr>
              <w:rFonts w:ascii="Arial" w:hAnsi="Arial" w:cs="Arial"/>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555"/>
          </w:tblGrid>
          <w:tr w:rsidR="00883F23" w:rsidRPr="00B04A93" w14:paraId="001ED9B8" w14:textId="77777777" w:rsidTr="00B04A93">
            <w:tc>
              <w:tcPr>
                <w:tcW w:w="3042" w:type="dxa"/>
                <w:tcBorders>
                  <w:top w:val="nil"/>
                  <w:left w:val="nil"/>
                  <w:bottom w:val="nil"/>
                </w:tcBorders>
                <w:shd w:val="clear" w:color="auto" w:fill="auto"/>
              </w:tcPr>
              <w:p w14:paraId="34390031" w14:textId="77777777" w:rsidR="00883F23" w:rsidRPr="00B04A93" w:rsidRDefault="00883F23" w:rsidP="00B04A93">
                <w:pPr>
                  <w:spacing w:after="0" w:line="240" w:lineRule="auto"/>
                  <w:jc w:val="right"/>
                  <w:rPr>
                    <w:rFonts w:ascii="Arial" w:hAnsi="Arial" w:cs="Arial"/>
                  </w:rPr>
                </w:pPr>
                <w:r w:rsidRPr="00B04A93">
                  <w:rPr>
                    <w:rFonts w:ascii="Arial" w:hAnsi="Arial" w:cs="Arial"/>
                  </w:rPr>
                  <w:t>toll free: 866-265-8100</w:t>
                </w:r>
              </w:p>
              <w:p w14:paraId="09C934F1" w14:textId="77777777" w:rsidR="00883F23" w:rsidRPr="00B04A93" w:rsidRDefault="00883F23" w:rsidP="00B04A93">
                <w:pPr>
                  <w:spacing w:after="0" w:line="240" w:lineRule="auto"/>
                  <w:jc w:val="right"/>
                  <w:rPr>
                    <w:rFonts w:ascii="Arial" w:hAnsi="Arial" w:cs="Arial"/>
                  </w:rPr>
                </w:pPr>
                <w:r w:rsidRPr="00B04A93">
                  <w:rPr>
                    <w:rFonts w:ascii="Arial" w:hAnsi="Arial" w:cs="Arial"/>
                  </w:rPr>
                  <w:t>local: 727-343-8959</w:t>
                </w:r>
              </w:p>
              <w:p w14:paraId="0700AC90" w14:textId="77777777" w:rsidR="00883F23" w:rsidRPr="00B04A93" w:rsidRDefault="00883F23" w:rsidP="00B04A93">
                <w:pPr>
                  <w:spacing w:after="0" w:line="240" w:lineRule="auto"/>
                  <w:jc w:val="right"/>
                  <w:rPr>
                    <w:rFonts w:ascii="Arial" w:hAnsi="Arial" w:cs="Arial"/>
                  </w:rPr>
                </w:pPr>
                <w:r w:rsidRPr="00B04A93">
                  <w:rPr>
                    <w:rFonts w:ascii="Arial" w:hAnsi="Arial" w:cs="Arial"/>
                  </w:rPr>
                  <w:t>fax: 727-384-2437</w:t>
                </w:r>
              </w:p>
            </w:tc>
            <w:tc>
              <w:tcPr>
                <w:tcW w:w="2425" w:type="dxa"/>
                <w:tcBorders>
                  <w:top w:val="nil"/>
                  <w:bottom w:val="nil"/>
                  <w:right w:val="nil"/>
                </w:tcBorders>
                <w:shd w:val="clear" w:color="auto" w:fill="auto"/>
              </w:tcPr>
              <w:p w14:paraId="3FE8CDD4" w14:textId="77777777" w:rsidR="00883F23" w:rsidRPr="00B04A93" w:rsidRDefault="00883F23" w:rsidP="00B04A93">
                <w:pPr>
                  <w:spacing w:after="0" w:line="240" w:lineRule="auto"/>
                  <w:rPr>
                    <w:rFonts w:ascii="Arial" w:hAnsi="Arial" w:cs="Arial"/>
                  </w:rPr>
                </w:pPr>
              </w:p>
              <w:p w14:paraId="612D1CB9" w14:textId="68B5C027" w:rsidR="00883F23" w:rsidRPr="00B04A93" w:rsidRDefault="00883F23" w:rsidP="00B04A93">
                <w:pPr>
                  <w:spacing w:after="0" w:line="240" w:lineRule="auto"/>
                  <w:rPr>
                    <w:rFonts w:ascii="Arial" w:hAnsi="Arial" w:cs="Arial"/>
                  </w:rPr>
                </w:pPr>
                <w:r w:rsidRPr="00B04A93">
                  <w:rPr>
                    <w:rFonts w:ascii="Arial" w:hAnsi="Arial" w:cs="Arial"/>
                  </w:rPr>
                  <w:t>info@</w:t>
                </w:r>
                <w:r w:rsidR="00CD3FA1">
                  <w:rPr>
                    <w:rFonts w:ascii="Arial" w:hAnsi="Arial" w:cs="Arial"/>
                  </w:rPr>
                  <w:t>HKHelderlaw</w:t>
                </w:r>
                <w:r w:rsidRPr="00B04A93">
                  <w:rPr>
                    <w:rFonts w:ascii="Arial" w:hAnsi="Arial" w:cs="Arial"/>
                  </w:rPr>
                  <w:t>.com</w:t>
                </w:r>
              </w:p>
              <w:p w14:paraId="1AB3D5D4" w14:textId="6D2DE6D9" w:rsidR="00883F23" w:rsidRPr="00B04A93" w:rsidRDefault="00883F23" w:rsidP="00B04A93">
                <w:pPr>
                  <w:spacing w:after="0" w:line="240" w:lineRule="auto"/>
                  <w:rPr>
                    <w:rFonts w:ascii="Arial" w:hAnsi="Arial" w:cs="Arial"/>
                  </w:rPr>
                </w:pPr>
                <w:r w:rsidRPr="00B04A93">
                  <w:rPr>
                    <w:rFonts w:ascii="Arial" w:hAnsi="Arial" w:cs="Arial"/>
                  </w:rPr>
                  <w:t>H</w:t>
                </w:r>
                <w:r w:rsidR="00CD3FA1">
                  <w:rPr>
                    <w:rFonts w:ascii="Arial" w:hAnsi="Arial" w:cs="Arial"/>
                  </w:rPr>
                  <w:t>KHelderlaw</w:t>
                </w:r>
                <w:r w:rsidRPr="00B04A93">
                  <w:rPr>
                    <w:rFonts w:ascii="Arial" w:hAnsi="Arial" w:cs="Arial"/>
                  </w:rPr>
                  <w:t>.com</w:t>
                </w:r>
              </w:p>
            </w:tc>
          </w:tr>
          <w:tr w:rsidR="00883F23" w:rsidRPr="00B04A93" w14:paraId="2570EA0F" w14:textId="77777777" w:rsidTr="00B04A93">
            <w:tc>
              <w:tcPr>
                <w:tcW w:w="3042" w:type="dxa"/>
                <w:tcBorders>
                  <w:top w:val="nil"/>
                  <w:left w:val="nil"/>
                  <w:bottom w:val="nil"/>
                  <w:right w:val="nil"/>
                </w:tcBorders>
                <w:shd w:val="clear" w:color="auto" w:fill="auto"/>
              </w:tcPr>
              <w:p w14:paraId="3A93280F" w14:textId="77777777" w:rsidR="00883F23" w:rsidRPr="00B04A93" w:rsidRDefault="00883F23" w:rsidP="00B04A93">
                <w:pPr>
                  <w:spacing w:after="0" w:line="240" w:lineRule="auto"/>
                  <w:jc w:val="right"/>
                  <w:rPr>
                    <w:rFonts w:ascii="Arial" w:hAnsi="Arial" w:cs="Arial"/>
                  </w:rPr>
                </w:pPr>
              </w:p>
            </w:tc>
            <w:tc>
              <w:tcPr>
                <w:tcW w:w="2425" w:type="dxa"/>
                <w:tcBorders>
                  <w:top w:val="nil"/>
                  <w:left w:val="nil"/>
                  <w:bottom w:val="nil"/>
                  <w:right w:val="nil"/>
                </w:tcBorders>
                <w:shd w:val="clear" w:color="auto" w:fill="auto"/>
              </w:tcPr>
              <w:p w14:paraId="3A74947A" w14:textId="77777777" w:rsidR="00883F23" w:rsidRPr="00B04A93" w:rsidRDefault="00883F23" w:rsidP="00B04A93">
                <w:pPr>
                  <w:spacing w:after="0" w:line="240" w:lineRule="auto"/>
                  <w:rPr>
                    <w:rFonts w:ascii="Arial" w:hAnsi="Arial" w:cs="Arial"/>
                  </w:rPr>
                </w:pPr>
              </w:p>
            </w:tc>
          </w:tr>
        </w:tbl>
        <w:p w14:paraId="77CFFDD7" w14:textId="77777777" w:rsidR="00883F23" w:rsidRPr="00BB19AE" w:rsidRDefault="00883F23" w:rsidP="00BB19AE">
          <w:pPr>
            <w:spacing w:after="0" w:line="240" w:lineRule="auto"/>
            <w:jc w:val="right"/>
            <w:rPr>
              <w:rFonts w:ascii="Arial" w:hAnsi="Arial" w:cs="Arial"/>
            </w:rPr>
          </w:pPr>
        </w:p>
      </w:tc>
    </w:tr>
  </w:tbl>
  <w:p w14:paraId="107D0D06" w14:textId="77777777" w:rsidR="00883F23" w:rsidRDefault="00883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5E8F5FA"/>
    <w:lvl w:ilvl="0">
      <w:numFmt w:val="bullet"/>
      <w:lvlText w:val="*"/>
      <w:lvlJc w:val="left"/>
    </w:lvl>
  </w:abstractNum>
  <w:abstractNum w:abstractNumId="1" w15:restartNumberingAfterBreak="0">
    <w:nsid w:val="28F464C7"/>
    <w:multiLevelType w:val="hybridMultilevel"/>
    <w:tmpl w:val="D6E2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360938">
    <w:abstractNumId w:val="0"/>
    <w:lvlOverride w:ilvl="0">
      <w:lvl w:ilvl="0">
        <w:numFmt w:val="bullet"/>
        <w:lvlText w:val=""/>
        <w:legacy w:legacy="1" w:legacySpace="0" w:legacyIndent="1"/>
        <w:lvlJc w:val="left"/>
        <w:rPr>
          <w:rFonts w:ascii="Symbol" w:hAnsi="Symbol" w:hint="default"/>
        </w:rPr>
      </w:lvl>
    </w:lvlOverride>
  </w:num>
  <w:num w:numId="2" w16cid:durableId="126179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DD"/>
    <w:rsid w:val="00000241"/>
    <w:rsid w:val="0002226D"/>
    <w:rsid w:val="00073B2B"/>
    <w:rsid w:val="000864B2"/>
    <w:rsid w:val="000A5C9C"/>
    <w:rsid w:val="000D1B55"/>
    <w:rsid w:val="000E150E"/>
    <w:rsid w:val="000E62D1"/>
    <w:rsid w:val="000F07C1"/>
    <w:rsid w:val="000F2AEA"/>
    <w:rsid w:val="000F606D"/>
    <w:rsid w:val="00141922"/>
    <w:rsid w:val="00146854"/>
    <w:rsid w:val="00171385"/>
    <w:rsid w:val="00175945"/>
    <w:rsid w:val="001C28B7"/>
    <w:rsid w:val="001C6A20"/>
    <w:rsid w:val="001E29A7"/>
    <w:rsid w:val="00212223"/>
    <w:rsid w:val="00212E83"/>
    <w:rsid w:val="00214AD4"/>
    <w:rsid w:val="00215D30"/>
    <w:rsid w:val="00253111"/>
    <w:rsid w:val="002673A0"/>
    <w:rsid w:val="002861FD"/>
    <w:rsid w:val="002B4C5D"/>
    <w:rsid w:val="002F0C12"/>
    <w:rsid w:val="00315203"/>
    <w:rsid w:val="00324A78"/>
    <w:rsid w:val="00385A86"/>
    <w:rsid w:val="003A2F8B"/>
    <w:rsid w:val="003A756A"/>
    <w:rsid w:val="003F4F88"/>
    <w:rsid w:val="00402087"/>
    <w:rsid w:val="00431B46"/>
    <w:rsid w:val="00447778"/>
    <w:rsid w:val="004607BB"/>
    <w:rsid w:val="00486131"/>
    <w:rsid w:val="00486A3E"/>
    <w:rsid w:val="00493875"/>
    <w:rsid w:val="004946EB"/>
    <w:rsid w:val="004B5C93"/>
    <w:rsid w:val="004B6776"/>
    <w:rsid w:val="004B686F"/>
    <w:rsid w:val="004C0208"/>
    <w:rsid w:val="004C3E20"/>
    <w:rsid w:val="00596FF5"/>
    <w:rsid w:val="005A6AB0"/>
    <w:rsid w:val="005D09C1"/>
    <w:rsid w:val="005E7A1A"/>
    <w:rsid w:val="0066674B"/>
    <w:rsid w:val="00666C2F"/>
    <w:rsid w:val="006730CE"/>
    <w:rsid w:val="00693023"/>
    <w:rsid w:val="006A23B5"/>
    <w:rsid w:val="006B2A47"/>
    <w:rsid w:val="006C0B82"/>
    <w:rsid w:val="007250A7"/>
    <w:rsid w:val="007335B7"/>
    <w:rsid w:val="00750683"/>
    <w:rsid w:val="00772CC2"/>
    <w:rsid w:val="00775093"/>
    <w:rsid w:val="0077509D"/>
    <w:rsid w:val="007A2E52"/>
    <w:rsid w:val="007C7557"/>
    <w:rsid w:val="007C7CED"/>
    <w:rsid w:val="008038BD"/>
    <w:rsid w:val="00823AA5"/>
    <w:rsid w:val="00840B03"/>
    <w:rsid w:val="00851F18"/>
    <w:rsid w:val="008529F8"/>
    <w:rsid w:val="0085672B"/>
    <w:rsid w:val="00883F23"/>
    <w:rsid w:val="008B7008"/>
    <w:rsid w:val="008C03AB"/>
    <w:rsid w:val="008C457E"/>
    <w:rsid w:val="008C4BA7"/>
    <w:rsid w:val="008D083F"/>
    <w:rsid w:val="008F1CAC"/>
    <w:rsid w:val="00926759"/>
    <w:rsid w:val="00937740"/>
    <w:rsid w:val="009A531B"/>
    <w:rsid w:val="009C2DD1"/>
    <w:rsid w:val="009E0A63"/>
    <w:rsid w:val="009F397C"/>
    <w:rsid w:val="00A13783"/>
    <w:rsid w:val="00A20D40"/>
    <w:rsid w:val="00A2757D"/>
    <w:rsid w:val="00A73666"/>
    <w:rsid w:val="00AA052F"/>
    <w:rsid w:val="00AD0AF7"/>
    <w:rsid w:val="00AD3268"/>
    <w:rsid w:val="00AE4261"/>
    <w:rsid w:val="00AE4DE6"/>
    <w:rsid w:val="00B04A93"/>
    <w:rsid w:val="00B354AA"/>
    <w:rsid w:val="00B42DDF"/>
    <w:rsid w:val="00B55479"/>
    <w:rsid w:val="00B67F89"/>
    <w:rsid w:val="00B86AB0"/>
    <w:rsid w:val="00BB19AE"/>
    <w:rsid w:val="00BF5FB0"/>
    <w:rsid w:val="00C129CF"/>
    <w:rsid w:val="00C13059"/>
    <w:rsid w:val="00C35A77"/>
    <w:rsid w:val="00C745B3"/>
    <w:rsid w:val="00CB0466"/>
    <w:rsid w:val="00CB7693"/>
    <w:rsid w:val="00CC12AC"/>
    <w:rsid w:val="00CD3FA1"/>
    <w:rsid w:val="00CD62DD"/>
    <w:rsid w:val="00CE0A8C"/>
    <w:rsid w:val="00D21B31"/>
    <w:rsid w:val="00D651BD"/>
    <w:rsid w:val="00D74E25"/>
    <w:rsid w:val="00D91AF8"/>
    <w:rsid w:val="00D95F40"/>
    <w:rsid w:val="00E50F99"/>
    <w:rsid w:val="00E75FB4"/>
    <w:rsid w:val="00EA0915"/>
    <w:rsid w:val="00EA4CCE"/>
    <w:rsid w:val="00EA5BD9"/>
    <w:rsid w:val="00EC25F7"/>
    <w:rsid w:val="00ED7443"/>
    <w:rsid w:val="00EE46CE"/>
    <w:rsid w:val="00F174DD"/>
    <w:rsid w:val="00FB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93AA"/>
  <w15:chartTrackingRefBased/>
  <w15:docId w15:val="{7EF8F948-C8AE-47F5-9030-0645A281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093"/>
  </w:style>
  <w:style w:type="paragraph" w:styleId="Footer">
    <w:name w:val="footer"/>
    <w:basedOn w:val="Normal"/>
    <w:link w:val="FooterChar"/>
    <w:uiPriority w:val="99"/>
    <w:unhideWhenUsed/>
    <w:rsid w:val="00775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93"/>
  </w:style>
  <w:style w:type="table" w:styleId="TableGrid">
    <w:name w:val="Table Grid"/>
    <w:basedOn w:val="TableNormal"/>
    <w:uiPriority w:val="59"/>
    <w:rsid w:val="0077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0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093"/>
    <w:rPr>
      <w:rFonts w:ascii="Tahoma" w:hAnsi="Tahoma" w:cs="Tahoma"/>
      <w:sz w:val="16"/>
      <w:szCs w:val="16"/>
    </w:rPr>
  </w:style>
  <w:style w:type="character" w:styleId="Hyperlink">
    <w:name w:val="Hyperlink"/>
    <w:uiPriority w:val="99"/>
    <w:unhideWhenUsed/>
    <w:rsid w:val="004C0208"/>
    <w:rPr>
      <w:color w:val="0000FF"/>
      <w:u w:val="single"/>
    </w:rPr>
  </w:style>
  <w:style w:type="character" w:styleId="UnresolvedMention">
    <w:name w:val="Unresolved Mention"/>
    <w:basedOn w:val="DefaultParagraphFont"/>
    <w:uiPriority w:val="99"/>
    <w:semiHidden/>
    <w:unhideWhenUsed/>
    <w:rsid w:val="003A2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KHelderlaw.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khelderlaw.com/practice-areas/wills-tru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khelderlaw.com/blog/2021/february/top-8-reasons-medicaid-applications-are-denie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khelderlaw.com/practice-areas/medicaid-asset-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Templates\HLG%20Templates\LetterheadAtty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C7B0A0D9ACF45A76B96B8A3F7835C" ma:contentTypeVersion="13" ma:contentTypeDescription="Create a new document." ma:contentTypeScope="" ma:versionID="da1b78284f297b0361620834c665b361">
  <xsd:schema xmlns:xsd="http://www.w3.org/2001/XMLSchema" xmlns:xs="http://www.w3.org/2001/XMLSchema" xmlns:p="http://schemas.microsoft.com/office/2006/metadata/properties" xmlns:ns2="3f36cb35-ba84-440c-ab89-bfc46ed0fb0b" xmlns:ns3="6b1b2809-e809-4333-8db5-99310f73ccab" targetNamespace="http://schemas.microsoft.com/office/2006/metadata/properties" ma:root="true" ma:fieldsID="3b3bd4e26babe5d58d5164b41e2f4a3a" ns2:_="" ns3:_="">
    <xsd:import namespace="3f36cb35-ba84-440c-ab89-bfc46ed0fb0b"/>
    <xsd:import namespace="6b1b2809-e809-4333-8db5-99310f73cc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6cb35-ba84-440c-ab89-bfc46ed0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3616e9-34d5-4fbc-888e-f2feced733a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b2809-e809-4333-8db5-99310f73cc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d028b1-3f1b-41ec-ac0e-1f0c0c379989}" ma:internalName="TaxCatchAll" ma:showField="CatchAllData" ma:web="6b1b2809-e809-4333-8db5-99310f73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1b2809-e809-4333-8db5-99310f73ccab" xsi:nil="true"/>
    <lcf76f155ced4ddcb4097134ff3c332f xmlns="3f36cb35-ba84-440c-ab89-bfc46ed0fb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AB6CF-8D79-4F78-B54B-9156FA83156B}">
  <ds:schemaRefs>
    <ds:schemaRef ds:uri="http://schemas.microsoft.com/sharepoint/v3/contenttype/forms"/>
  </ds:schemaRefs>
</ds:datastoreItem>
</file>

<file path=customXml/itemProps2.xml><?xml version="1.0" encoding="utf-8"?>
<ds:datastoreItem xmlns:ds="http://schemas.openxmlformats.org/officeDocument/2006/customXml" ds:itemID="{52D335D9-9780-40E1-B91A-416C917F0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6cb35-ba84-440c-ab89-bfc46ed0fb0b"/>
    <ds:schemaRef ds:uri="6b1b2809-e809-4333-8db5-99310f73c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5382F-6805-4888-AFFF-6A1A33A3E53A}">
  <ds:schemaRefs>
    <ds:schemaRef ds:uri="http://schemas.microsoft.com/office/2006/metadata/properties"/>
    <ds:schemaRef ds:uri="http://schemas.microsoft.com/office/infopath/2007/PartnerControls"/>
    <ds:schemaRef ds:uri="6b1b2809-e809-4333-8db5-99310f73ccab"/>
    <ds:schemaRef ds:uri="3f36cb35-ba84-440c-ab89-bfc46ed0fb0b"/>
  </ds:schemaRefs>
</ds:datastoreItem>
</file>

<file path=docProps/app.xml><?xml version="1.0" encoding="utf-8"?>
<Properties xmlns="http://schemas.openxmlformats.org/officeDocument/2006/extended-properties" xmlns:vt="http://schemas.openxmlformats.org/officeDocument/2006/docPropsVTypes">
  <Template>LetterheadAttys.dot</Template>
  <TotalTime>29</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Sincerely,</vt:lpstr>
    </vt:vector>
  </TitlesOfParts>
  <Company/>
  <LinksUpToDate>false</LinksUpToDate>
  <CharactersWithSpaces>4561</CharactersWithSpaces>
  <SharedDoc>false</SharedDoc>
  <HLinks>
    <vt:vector size="24" baseType="variant">
      <vt:variant>
        <vt:i4>1572880</vt:i4>
      </vt:variant>
      <vt:variant>
        <vt:i4>9</vt:i4>
      </vt:variant>
      <vt:variant>
        <vt:i4>0</vt:i4>
      </vt:variant>
      <vt:variant>
        <vt:i4>5</vt:i4>
      </vt:variant>
      <vt:variant>
        <vt:lpwstr>https://www.hilllawgroup.com/contact-us/</vt:lpwstr>
      </vt:variant>
      <vt:variant>
        <vt:lpwstr/>
      </vt:variant>
      <vt:variant>
        <vt:i4>1507393</vt:i4>
      </vt:variant>
      <vt:variant>
        <vt:i4>6</vt:i4>
      </vt:variant>
      <vt:variant>
        <vt:i4>0</vt:i4>
      </vt:variant>
      <vt:variant>
        <vt:i4>5</vt:i4>
      </vt:variant>
      <vt:variant>
        <vt:lpwstr>https://www.hilllawgroup.com/practice-areas/wills-trusts/</vt:lpwstr>
      </vt:variant>
      <vt:variant>
        <vt:lpwstr/>
      </vt:variant>
      <vt:variant>
        <vt:i4>3801150</vt:i4>
      </vt:variant>
      <vt:variant>
        <vt:i4>3</vt:i4>
      </vt:variant>
      <vt:variant>
        <vt:i4>0</vt:i4>
      </vt:variant>
      <vt:variant>
        <vt:i4>5</vt:i4>
      </vt:variant>
      <vt:variant>
        <vt:lpwstr>https://www.hilllawgroup.com/blog/2015/april/top-reasons-for-medicaid-denial-or-delay/</vt:lpwstr>
      </vt:variant>
      <vt:variant>
        <vt:lpwstr/>
      </vt:variant>
      <vt:variant>
        <vt:i4>7077931</vt:i4>
      </vt:variant>
      <vt:variant>
        <vt:i4>0</vt:i4>
      </vt:variant>
      <vt:variant>
        <vt:i4>0</vt:i4>
      </vt:variant>
      <vt:variant>
        <vt:i4>5</vt:i4>
      </vt:variant>
      <vt:variant>
        <vt:lpwstr>https://www.hilllawgroup.com/practice-areas/medicaid-asset-protection/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Sincerely,</dc:title>
  <dc:subject/>
  <dc:creator>April Hill</dc:creator>
  <cp:keywords/>
  <cp:lastModifiedBy>Sheri Gruden</cp:lastModifiedBy>
  <cp:revision>7</cp:revision>
  <cp:lastPrinted>2025-06-18T19:52:00Z</cp:lastPrinted>
  <dcterms:created xsi:type="dcterms:W3CDTF">2025-06-18T19:48:00Z</dcterms:created>
  <dcterms:modified xsi:type="dcterms:W3CDTF">2025-06-18T20:08:00Z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0x010100E37C7B0A0D9ACF45A76B96B8A3F7835C</vt:lpwstr>
  </property>
</Properties>
</file>